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CAF6" w14:textId="77777777" w:rsidR="00B111DE" w:rsidRPr="00F05204" w:rsidRDefault="00B111DE" w:rsidP="00B111DE">
      <w:pPr>
        <w:pStyle w:val="Subtitle"/>
        <w:outlineLvl w:val="1"/>
        <w:rPr>
          <w:rFonts w:asciiTheme="majorHAnsi" w:hAnsiTheme="majorHAnsi"/>
          <w:b/>
          <w:bCs/>
          <w:color w:val="auto"/>
          <w:sz w:val="32"/>
          <w:szCs w:val="32"/>
        </w:rPr>
      </w:pPr>
      <w:r w:rsidRPr="00F05204">
        <w:rPr>
          <w:rStyle w:val="SubtleEmphasis"/>
          <w:rFonts w:asciiTheme="majorHAnsi" w:hAnsiTheme="majorHAnsi"/>
          <w:b/>
          <w:bCs/>
          <w:color w:val="auto"/>
          <w:sz w:val="32"/>
          <w:szCs w:val="32"/>
        </w:rPr>
        <w:t xml:space="preserve">Article Two – </w:t>
      </w:r>
      <w:r w:rsidRPr="00F05204">
        <w:rPr>
          <w:rFonts w:asciiTheme="majorHAnsi" w:hAnsiTheme="majorHAnsi"/>
          <w:b/>
          <w:bCs/>
          <w:color w:val="auto"/>
          <w:sz w:val="32"/>
          <w:szCs w:val="32"/>
        </w:rPr>
        <w:t>Statement of Faith</w:t>
      </w:r>
    </w:p>
    <w:p w14:paraId="19F8156D" w14:textId="77777777" w:rsidR="00B111DE" w:rsidRPr="00F05204" w:rsidRDefault="00B111DE" w:rsidP="00B111DE">
      <w:pPr>
        <w:ind w:left="720" w:firstLine="270"/>
        <w:rPr>
          <w:rFonts w:asciiTheme="majorHAnsi" w:hAnsiTheme="majorHAnsi"/>
        </w:rPr>
      </w:pPr>
    </w:p>
    <w:p w14:paraId="5D5AAE7E" w14:textId="77777777" w:rsidR="00B111DE" w:rsidRPr="000E4E4A" w:rsidRDefault="00B111DE" w:rsidP="00B111DE">
      <w:pPr>
        <w:rPr>
          <w:rFonts w:asciiTheme="majorHAnsi" w:hAnsiTheme="majorHAnsi"/>
          <w:b/>
          <w:bCs/>
          <w:caps/>
        </w:rPr>
      </w:pPr>
      <w:r w:rsidRPr="000E4E4A">
        <w:rPr>
          <w:rFonts w:asciiTheme="majorHAnsi" w:hAnsiTheme="majorHAnsi"/>
          <w:b/>
          <w:bCs/>
        </w:rPr>
        <w:t xml:space="preserve">2.1 </w:t>
      </w:r>
      <w:proofErr w:type="gramStart"/>
      <w:r w:rsidRPr="000E4E4A">
        <w:rPr>
          <w:rFonts w:asciiTheme="majorHAnsi" w:hAnsiTheme="majorHAnsi"/>
          <w:b/>
          <w:bCs/>
        </w:rPr>
        <w:t>–  Authority</w:t>
      </w:r>
      <w:proofErr w:type="gramEnd"/>
      <w:r w:rsidRPr="000E4E4A">
        <w:rPr>
          <w:rFonts w:asciiTheme="majorHAnsi" w:hAnsiTheme="majorHAnsi"/>
          <w:b/>
          <w:bCs/>
        </w:rPr>
        <w:t xml:space="preserve"> of Statement of Faith</w:t>
      </w:r>
      <w:r w:rsidRPr="000E4E4A">
        <w:rPr>
          <w:rFonts w:asciiTheme="majorHAnsi" w:hAnsiTheme="majorHAnsi"/>
          <w:b/>
          <w:bCs/>
          <w:caps/>
        </w:rPr>
        <w:t xml:space="preserve">: </w:t>
      </w:r>
    </w:p>
    <w:p w14:paraId="7AE504F1" w14:textId="77777777" w:rsidR="00B111DE" w:rsidRPr="00F05204" w:rsidRDefault="00B111DE" w:rsidP="00B111DE">
      <w:pPr>
        <w:rPr>
          <w:rFonts w:asciiTheme="majorHAnsi" w:hAnsiTheme="majorHAnsi"/>
          <w:caps/>
        </w:rPr>
      </w:pPr>
      <w:r w:rsidRPr="00F05204">
        <w:rPr>
          <w:rFonts w:asciiTheme="majorHAnsi" w:hAnsiTheme="majorHAnsi"/>
        </w:rPr>
        <w:t>The statement of faith does not exhaust the extent of our faith. The Bible itself is the sole and final source of all that we believe. We do believe, however, that the statement of faith accurately represents the teachings of the Bible and, therefore, is binding upon all members, staff, and volunteers. All literature, whether print or electronic, used in the church shall be in complete agreement with the statement of faith. All activities permitted or performed in any facilities owned, rented, or leased by this church, or engaged in by any member of the church staff (volunteer or paid), and all decisions of the church administration shall not conflict with the statement of faith. In all conflicts regarding interpretation of the statement of faith, the pastor and</w:t>
      </w:r>
      <w:r>
        <w:rPr>
          <w:rFonts w:asciiTheme="majorHAnsi" w:hAnsiTheme="majorHAnsi"/>
        </w:rPr>
        <w:t xml:space="preserve"> the </w:t>
      </w:r>
      <w:r w:rsidRPr="00F05204">
        <w:rPr>
          <w:rFonts w:asciiTheme="majorHAnsi" w:hAnsiTheme="majorHAnsi"/>
        </w:rPr>
        <w:t>board</w:t>
      </w:r>
      <w:r>
        <w:rPr>
          <w:rFonts w:asciiTheme="majorHAnsi" w:hAnsiTheme="majorHAnsi"/>
        </w:rPr>
        <w:t xml:space="preserve"> of deacons</w:t>
      </w:r>
      <w:r w:rsidRPr="00F05204">
        <w:rPr>
          <w:rFonts w:asciiTheme="majorHAnsi" w:hAnsiTheme="majorHAnsi"/>
        </w:rPr>
        <w:t xml:space="preserve">, on behalf of the church, have the final authority. </w:t>
      </w:r>
    </w:p>
    <w:p w14:paraId="3EFB8457" w14:textId="77777777" w:rsidR="00B111DE" w:rsidRPr="00F05204" w:rsidRDefault="00B111DE" w:rsidP="00B111DE">
      <w:pPr>
        <w:ind w:left="720"/>
        <w:rPr>
          <w:rFonts w:asciiTheme="majorHAnsi" w:hAnsiTheme="majorHAnsi"/>
          <w:caps/>
        </w:rPr>
      </w:pPr>
    </w:p>
    <w:p w14:paraId="5210E1EF" w14:textId="77777777" w:rsidR="00B111DE" w:rsidRPr="00F05204" w:rsidRDefault="00B111DE" w:rsidP="00B111DE">
      <w:pPr>
        <w:pStyle w:val="BodyText"/>
        <w:tabs>
          <w:tab w:val="clear" w:pos="3960"/>
          <w:tab w:val="clear" w:pos="6120"/>
          <w:tab w:val="clear" w:pos="6480"/>
          <w:tab w:val="clear" w:pos="10080"/>
        </w:tabs>
        <w:spacing w:after="240"/>
        <w:ind w:left="720"/>
        <w:rPr>
          <w:rFonts w:asciiTheme="majorHAnsi" w:hAnsiTheme="majorHAnsi"/>
          <w:sz w:val="24"/>
        </w:rPr>
      </w:pPr>
      <w:r w:rsidRPr="00F05204">
        <w:rPr>
          <w:rFonts w:asciiTheme="majorHAnsi" w:hAnsiTheme="majorHAnsi"/>
          <w:sz w:val="24"/>
        </w:rPr>
        <w:t>We believe in the Scriptures of the Old and New Testaments as verbally inspired of God, inerrant in the original writings, and that they are of supreme and final authority in faith and life.</w:t>
      </w:r>
      <w:r>
        <w:rPr>
          <w:rFonts w:asciiTheme="majorHAnsi" w:hAnsiTheme="majorHAnsi"/>
          <w:sz w:val="24"/>
        </w:rPr>
        <w:t xml:space="preserve"> (</w:t>
      </w:r>
      <w:r w:rsidRPr="00524805">
        <w:rPr>
          <w:rFonts w:asciiTheme="majorHAnsi" w:hAnsiTheme="majorHAnsi"/>
          <w:sz w:val="24"/>
        </w:rPr>
        <w:t>2 Timothy 3:16–17; 2 Peter 1:20–21; Psalm 119:160; Matthew 5:18; John 17:17</w:t>
      </w:r>
      <w:r>
        <w:rPr>
          <w:rFonts w:asciiTheme="majorHAnsi" w:hAnsiTheme="majorHAnsi"/>
          <w:sz w:val="24"/>
        </w:rPr>
        <w:t>)</w:t>
      </w:r>
    </w:p>
    <w:p w14:paraId="6CB86FFA"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t xml:space="preserve">We believe in one God, eternally existing in three </w:t>
      </w:r>
      <w:proofErr w:type="gramStart"/>
      <w:r w:rsidRPr="00F05204">
        <w:rPr>
          <w:rFonts w:asciiTheme="majorHAnsi" w:hAnsiTheme="majorHAnsi"/>
        </w:rPr>
        <w:t>persons;</w:t>
      </w:r>
      <w:proofErr w:type="gramEnd"/>
      <w:r w:rsidRPr="00F05204">
        <w:rPr>
          <w:rFonts w:asciiTheme="majorHAnsi" w:hAnsiTheme="majorHAnsi"/>
        </w:rPr>
        <w:t xml:space="preserve"> Father, Son and Holy Spirit.</w:t>
      </w:r>
      <w:r>
        <w:rPr>
          <w:rFonts w:asciiTheme="majorHAnsi" w:hAnsiTheme="majorHAnsi"/>
        </w:rPr>
        <w:t xml:space="preserve"> (</w:t>
      </w:r>
      <w:r w:rsidRPr="001F1F59">
        <w:rPr>
          <w:rFonts w:asciiTheme="majorHAnsi" w:hAnsiTheme="majorHAnsi"/>
        </w:rPr>
        <w:t>Deuteronomy 6:4; Matthew 28:19; 2 Corinthians 13:14; John 10:30</w:t>
      </w:r>
      <w:r>
        <w:rPr>
          <w:rFonts w:asciiTheme="majorHAnsi" w:hAnsiTheme="majorHAnsi"/>
        </w:rPr>
        <w:t>)</w:t>
      </w:r>
    </w:p>
    <w:p w14:paraId="7AACC812"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t>We believe that Jesus Christ was begotten by the Holy Spirit, born of the Virgin Mary, and is true God and true man.</w:t>
      </w:r>
      <w:r>
        <w:rPr>
          <w:rFonts w:asciiTheme="majorHAnsi" w:hAnsiTheme="majorHAnsi"/>
        </w:rPr>
        <w:t xml:space="preserve"> (</w:t>
      </w:r>
      <w:r w:rsidRPr="001F1F59">
        <w:rPr>
          <w:rFonts w:asciiTheme="majorHAnsi" w:hAnsiTheme="majorHAnsi"/>
        </w:rPr>
        <w:t>Matthew 1:18–23; Luke 1:30–35; John 1:1, 14; Philippians 2:6–8; Colossians 2:9</w:t>
      </w:r>
      <w:r>
        <w:rPr>
          <w:rFonts w:asciiTheme="majorHAnsi" w:hAnsiTheme="majorHAnsi"/>
        </w:rPr>
        <w:t>)</w:t>
      </w:r>
    </w:p>
    <w:p w14:paraId="51845D4A"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t xml:space="preserve">We believe that man was created in the image of God, that he sinned and thereby incurred not only physical death, but also spiritual death, which is separation from God; and that all human beings are born with a sinful nature, and in </w:t>
      </w:r>
      <w:r>
        <w:rPr>
          <w:rFonts w:asciiTheme="majorHAnsi" w:hAnsiTheme="majorHAnsi"/>
        </w:rPr>
        <w:t xml:space="preserve">the </w:t>
      </w:r>
      <w:r w:rsidRPr="00F05204">
        <w:rPr>
          <w:rFonts w:asciiTheme="majorHAnsi" w:hAnsiTheme="majorHAnsi"/>
        </w:rPr>
        <w:t>case of those who reach moral responsibility, become sinners in thought, word and deed.</w:t>
      </w:r>
      <w:r>
        <w:rPr>
          <w:rFonts w:asciiTheme="majorHAnsi" w:hAnsiTheme="majorHAnsi"/>
        </w:rPr>
        <w:t xml:space="preserve"> (</w:t>
      </w:r>
      <w:r w:rsidRPr="001F1F59">
        <w:rPr>
          <w:rFonts w:asciiTheme="majorHAnsi" w:hAnsiTheme="majorHAnsi"/>
        </w:rPr>
        <w:t>Genesis 1:26–27; Genesis 3:6–19; Romans 3:10–23; Romans 5:12; Ephesians 2:1–3; Psalm 51:5</w:t>
      </w:r>
      <w:r>
        <w:rPr>
          <w:rFonts w:asciiTheme="majorHAnsi" w:hAnsiTheme="majorHAnsi"/>
        </w:rPr>
        <w:t>)</w:t>
      </w:r>
    </w:p>
    <w:p w14:paraId="5DFBB85F"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t xml:space="preserve">We believe that the Lord Jesus Christ died for our sins according to the Scriptures as a representative and substitutionary sacrifice, and that all </w:t>
      </w:r>
      <w:r>
        <w:rPr>
          <w:rFonts w:asciiTheme="majorHAnsi" w:hAnsiTheme="majorHAnsi"/>
        </w:rPr>
        <w:t>who</w:t>
      </w:r>
      <w:r w:rsidRPr="00F05204">
        <w:rPr>
          <w:rFonts w:asciiTheme="majorHAnsi" w:hAnsiTheme="majorHAnsi"/>
        </w:rPr>
        <w:t xml:space="preserve"> believe in Him are justified on the ground of His shed blood.</w:t>
      </w:r>
      <w:r>
        <w:rPr>
          <w:rFonts w:asciiTheme="majorHAnsi" w:hAnsiTheme="majorHAnsi"/>
        </w:rPr>
        <w:t xml:space="preserve"> (</w:t>
      </w:r>
      <w:r w:rsidRPr="001F1F59">
        <w:rPr>
          <w:rFonts w:asciiTheme="majorHAnsi" w:hAnsiTheme="majorHAnsi"/>
        </w:rPr>
        <w:t>Isaiah 53:4–6; 1 Corinthians 15:3; Romans 5:8–9; 2 Corinthians 5:21; 1 Peter 2:24</w:t>
      </w:r>
      <w:r>
        <w:rPr>
          <w:rFonts w:asciiTheme="majorHAnsi" w:hAnsiTheme="majorHAnsi"/>
        </w:rPr>
        <w:t>)</w:t>
      </w:r>
    </w:p>
    <w:p w14:paraId="1CDD0236"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t>We believe in the resurrection of the crucified body of our Lord, in His ascension into Heaven, and in His present life there for us, as High Priest and Advocate.</w:t>
      </w:r>
      <w:r>
        <w:rPr>
          <w:rFonts w:asciiTheme="majorHAnsi" w:hAnsiTheme="majorHAnsi"/>
        </w:rPr>
        <w:t xml:space="preserve"> (</w:t>
      </w:r>
      <w:r w:rsidRPr="002B649B">
        <w:rPr>
          <w:rFonts w:asciiTheme="majorHAnsi" w:hAnsiTheme="majorHAnsi"/>
        </w:rPr>
        <w:t>Luke 24:39; Acts 1:9–11; Hebrews 4:14–16; Hebrews 7:25; 1 John 2:1</w:t>
      </w:r>
      <w:r>
        <w:rPr>
          <w:rFonts w:asciiTheme="majorHAnsi" w:hAnsiTheme="majorHAnsi"/>
        </w:rPr>
        <w:t>)</w:t>
      </w:r>
    </w:p>
    <w:p w14:paraId="65AA8218"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t>We believe in that “blessed hope,” the personal and imminent return of our Lord and Savior, Jesus Christ.</w:t>
      </w:r>
      <w:r>
        <w:rPr>
          <w:rFonts w:asciiTheme="majorHAnsi" w:hAnsiTheme="majorHAnsi"/>
        </w:rPr>
        <w:t xml:space="preserve"> (</w:t>
      </w:r>
      <w:r w:rsidRPr="002B649B">
        <w:rPr>
          <w:rFonts w:asciiTheme="majorHAnsi" w:hAnsiTheme="majorHAnsi"/>
        </w:rPr>
        <w:t>John 14:1–3; Titus 2:13; 1 Thessalonians 4:16–17; Revelation 22:20</w:t>
      </w:r>
      <w:r>
        <w:rPr>
          <w:rFonts w:asciiTheme="majorHAnsi" w:hAnsiTheme="majorHAnsi"/>
        </w:rPr>
        <w:t>)</w:t>
      </w:r>
    </w:p>
    <w:p w14:paraId="594DC090"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lastRenderedPageBreak/>
        <w:t>We believe that all who receive by faith the Lord Jesus Christ are born again of the Holy Spirit of God and thereby become the children of God.</w:t>
      </w:r>
      <w:r>
        <w:rPr>
          <w:rFonts w:asciiTheme="majorHAnsi" w:hAnsiTheme="majorHAnsi"/>
        </w:rPr>
        <w:t xml:space="preserve"> (</w:t>
      </w:r>
      <w:r w:rsidRPr="002B649B">
        <w:rPr>
          <w:rFonts w:asciiTheme="majorHAnsi" w:hAnsiTheme="majorHAnsi"/>
        </w:rPr>
        <w:t>John 1:12–13; John 3:3–7; Ephesians 2:8–9; Titus 3:5; Romans 8:14–17</w:t>
      </w:r>
      <w:r>
        <w:rPr>
          <w:rFonts w:asciiTheme="majorHAnsi" w:hAnsiTheme="majorHAnsi"/>
        </w:rPr>
        <w:t>)</w:t>
      </w:r>
    </w:p>
    <w:p w14:paraId="16E13918"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t>We believe in the bodily resurrection of the just and unjust, the everlasting blessedness of the saved, and the everlasting conscious punishment of the lost.</w:t>
      </w:r>
      <w:r>
        <w:rPr>
          <w:rFonts w:asciiTheme="majorHAnsi" w:hAnsiTheme="majorHAnsi"/>
        </w:rPr>
        <w:t xml:space="preserve"> (</w:t>
      </w:r>
      <w:r w:rsidRPr="002B649B">
        <w:rPr>
          <w:rFonts w:asciiTheme="majorHAnsi" w:hAnsiTheme="majorHAnsi"/>
        </w:rPr>
        <w:t xml:space="preserve">Daniel 12:2; John 5:28–29; Matthew 25:46; </w:t>
      </w:r>
      <w:r>
        <w:rPr>
          <w:rFonts w:asciiTheme="majorHAnsi" w:hAnsiTheme="majorHAnsi"/>
        </w:rPr>
        <w:t xml:space="preserve">1 Corinthians 15:1-58; </w:t>
      </w:r>
      <w:r w:rsidRPr="002B649B">
        <w:rPr>
          <w:rFonts w:asciiTheme="majorHAnsi" w:hAnsiTheme="majorHAnsi"/>
        </w:rPr>
        <w:t>Revelation 20:11–15; Revelation 21:1–4</w:t>
      </w:r>
      <w:r>
        <w:rPr>
          <w:rFonts w:asciiTheme="majorHAnsi" w:hAnsiTheme="majorHAnsi"/>
        </w:rPr>
        <w:t>)</w:t>
      </w:r>
    </w:p>
    <w:p w14:paraId="59580CF5"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t>We believe that the local church is a body of baptized (immersed) believers organized for worship, work and fellowship; that the two ordinances of the church are baptism (immersion) and the Lord’s Supper; that the local church is an independent and self-governing body responsible to Christ alone, who is its Savior and Lord.</w:t>
      </w:r>
      <w:r>
        <w:rPr>
          <w:rFonts w:asciiTheme="majorHAnsi" w:hAnsiTheme="majorHAnsi"/>
        </w:rPr>
        <w:t xml:space="preserve"> (</w:t>
      </w:r>
      <w:r w:rsidRPr="002B649B">
        <w:rPr>
          <w:rFonts w:asciiTheme="majorHAnsi" w:hAnsiTheme="majorHAnsi"/>
        </w:rPr>
        <w:t>Acts 2:41–47; Matthew 28:19–20; Romans 6:3–4; 1 Corinthians 11:23–26; Colossians 1:18; Acts 14:23</w:t>
      </w:r>
      <w:r>
        <w:rPr>
          <w:rFonts w:asciiTheme="majorHAnsi" w:hAnsiTheme="majorHAnsi"/>
        </w:rPr>
        <w:t>)</w:t>
      </w:r>
    </w:p>
    <w:p w14:paraId="21F5F889"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t xml:space="preserve">We hold as unscriptural the </w:t>
      </w:r>
      <w:r>
        <w:rPr>
          <w:rFonts w:asciiTheme="majorHAnsi" w:hAnsiTheme="majorHAnsi"/>
        </w:rPr>
        <w:t>modern-day</w:t>
      </w:r>
      <w:r w:rsidRPr="00F05204">
        <w:rPr>
          <w:rFonts w:asciiTheme="majorHAnsi" w:hAnsiTheme="majorHAnsi"/>
        </w:rPr>
        <w:t xml:space="preserve"> healing, tongues, and </w:t>
      </w:r>
      <w:r>
        <w:rPr>
          <w:rFonts w:asciiTheme="majorHAnsi" w:hAnsiTheme="majorHAnsi"/>
        </w:rPr>
        <w:t>extrabiblical</w:t>
      </w:r>
      <w:r w:rsidRPr="00F05204">
        <w:rPr>
          <w:rFonts w:asciiTheme="majorHAnsi" w:hAnsiTheme="majorHAnsi"/>
        </w:rPr>
        <w:t xml:space="preserve"> revelations movement.</w:t>
      </w:r>
      <w:r>
        <w:rPr>
          <w:rFonts w:asciiTheme="majorHAnsi" w:hAnsiTheme="majorHAnsi"/>
        </w:rPr>
        <w:t xml:space="preserve"> (</w:t>
      </w:r>
      <w:r w:rsidRPr="002B649B">
        <w:rPr>
          <w:rFonts w:asciiTheme="majorHAnsi" w:hAnsiTheme="majorHAnsi"/>
        </w:rPr>
        <w:t xml:space="preserve">1 Corinthians 13:8–10; </w:t>
      </w:r>
      <w:r>
        <w:rPr>
          <w:rFonts w:asciiTheme="majorHAnsi" w:hAnsiTheme="majorHAnsi"/>
        </w:rPr>
        <w:t xml:space="preserve">14:21-22; </w:t>
      </w:r>
      <w:r w:rsidRPr="002B649B">
        <w:rPr>
          <w:rFonts w:asciiTheme="majorHAnsi" w:hAnsiTheme="majorHAnsi"/>
        </w:rPr>
        <w:t>Hebrews 1:1–2; Revelation 22:18–19; 2 Corinthians 11:3–4; Matthew 7:21–23</w:t>
      </w:r>
      <w:r>
        <w:rPr>
          <w:rFonts w:asciiTheme="majorHAnsi" w:hAnsiTheme="majorHAnsi"/>
        </w:rPr>
        <w:t>)</w:t>
      </w:r>
    </w:p>
    <w:p w14:paraId="744C57F6"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t xml:space="preserve">We stand opposed to the modern-day ecumenical movement that seeks to unite believers and unbelievers </w:t>
      </w:r>
      <w:proofErr w:type="gramStart"/>
      <w:r w:rsidRPr="00F05204">
        <w:rPr>
          <w:rFonts w:asciiTheme="majorHAnsi" w:hAnsiTheme="majorHAnsi"/>
        </w:rPr>
        <w:t>in</w:t>
      </w:r>
      <w:proofErr w:type="gramEnd"/>
      <w:r w:rsidRPr="00F05204">
        <w:rPr>
          <w:rFonts w:asciiTheme="majorHAnsi" w:hAnsiTheme="majorHAnsi"/>
        </w:rPr>
        <w:t xml:space="preserve"> unholy alliance.</w:t>
      </w:r>
      <w:r>
        <w:rPr>
          <w:rFonts w:asciiTheme="majorHAnsi" w:hAnsiTheme="majorHAnsi"/>
        </w:rPr>
        <w:t xml:space="preserve"> (</w:t>
      </w:r>
      <w:r w:rsidRPr="002B649B">
        <w:rPr>
          <w:rFonts w:asciiTheme="majorHAnsi" w:hAnsiTheme="majorHAnsi"/>
        </w:rPr>
        <w:t xml:space="preserve">2 Corinthians 6:14–18; Galatians 1:6–9; Romans 16:17; Ephesians 5:11; </w:t>
      </w:r>
      <w:r>
        <w:rPr>
          <w:rFonts w:asciiTheme="majorHAnsi" w:hAnsiTheme="majorHAnsi"/>
        </w:rPr>
        <w:t xml:space="preserve">2 Timothy 3:1-5; 2 John 9-11, </w:t>
      </w:r>
      <w:r w:rsidRPr="002B649B">
        <w:rPr>
          <w:rFonts w:asciiTheme="majorHAnsi" w:hAnsiTheme="majorHAnsi"/>
        </w:rPr>
        <w:t>Jude 3–4</w:t>
      </w:r>
      <w:r>
        <w:rPr>
          <w:rFonts w:asciiTheme="majorHAnsi" w:hAnsiTheme="majorHAnsi"/>
        </w:rPr>
        <w:t>)</w:t>
      </w:r>
    </w:p>
    <w:p w14:paraId="2FD7816A"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t>We believe the term “marriage” has only one legitimate meaning: marriage sanctioned by God, which joins one man and one woman in a single, covenantal union, as delineated by Scripture. Marriage ceremonies performed in any facility owned, leased, subleased, or rented by this church will be only those ceremonies sanctioned by God, joining one man and one woman. An individual’s gender at birth reflects God’s perfect purpose and design for that person and is therefore the only gender we will recognize. (Genesis 2</w:t>
      </w:r>
      <w:r>
        <w:rPr>
          <w:rFonts w:asciiTheme="majorHAnsi" w:hAnsiTheme="majorHAnsi"/>
        </w:rPr>
        <w:t>:</w:t>
      </w:r>
      <w:r w:rsidRPr="00F05204">
        <w:rPr>
          <w:rFonts w:asciiTheme="majorHAnsi" w:hAnsiTheme="majorHAnsi"/>
        </w:rPr>
        <w:t>24; Mark 10:6-9: Ephesians 5:22-23; and I Corinthians 7:1-9)</w:t>
      </w:r>
    </w:p>
    <w:p w14:paraId="798C7B86" w14:textId="77777777" w:rsidR="00B111DE" w:rsidRDefault="00B111DE" w:rsidP="00B111DE">
      <w:pPr>
        <w:spacing w:after="240"/>
        <w:ind w:left="720"/>
        <w:jc w:val="both"/>
        <w:rPr>
          <w:rFonts w:asciiTheme="majorHAnsi" w:hAnsiTheme="majorHAnsi"/>
        </w:rPr>
      </w:pPr>
      <w:r w:rsidRPr="00F05204">
        <w:rPr>
          <w:rFonts w:asciiTheme="majorHAnsi" w:hAnsiTheme="majorHAnsi"/>
        </w:rPr>
        <w:t>We believe that God has commanded that no intimate sexual activity be engaged in outside of a marriage between a man and a woman as defined above. We believe that any other type of sexual activity, identity, orientation, or expression that lies outside this definition of marriage are sinful perversions of and contradictory to God’s natural design and purpose for sexual activity. (Ge</w:t>
      </w:r>
      <w:r>
        <w:rPr>
          <w:rFonts w:asciiTheme="majorHAnsi" w:hAnsiTheme="majorHAnsi"/>
        </w:rPr>
        <w:t>nesis</w:t>
      </w:r>
      <w:r w:rsidRPr="00F05204">
        <w:rPr>
          <w:rFonts w:asciiTheme="majorHAnsi" w:hAnsiTheme="majorHAnsi"/>
        </w:rPr>
        <w:t xml:space="preserve"> 2:24, 19:5,13, 26:8-9; Romans 1:26-29; I Corinthians 5:1, 6:9; I Thessalonians 4:1-8; Hebrews 13:4).</w:t>
      </w:r>
    </w:p>
    <w:p w14:paraId="1D6BB07A" w14:textId="77777777" w:rsidR="00B111DE" w:rsidRPr="00F05204" w:rsidRDefault="00B111DE" w:rsidP="00B111DE">
      <w:pPr>
        <w:spacing w:after="240"/>
        <w:ind w:left="720"/>
        <w:jc w:val="both"/>
        <w:rPr>
          <w:rFonts w:asciiTheme="majorHAnsi" w:hAnsiTheme="majorHAnsi"/>
        </w:rPr>
      </w:pPr>
      <w:r w:rsidRPr="00BF6E53">
        <w:rPr>
          <w:rFonts w:asciiTheme="majorHAnsi" w:hAnsiTheme="majorHAnsi"/>
        </w:rPr>
        <w:t>We believe that God creates each person as male or female. These two distinct, unchangeable genders together reflect the image and nature of God, and the rejection of one's biological gender is a rejection of the image of God within that person. (Genesis 1:26-27)</w:t>
      </w:r>
    </w:p>
    <w:p w14:paraId="475E0845" w14:textId="77777777" w:rsidR="00B111DE" w:rsidRPr="00F05204" w:rsidRDefault="00B111DE" w:rsidP="00B111DE">
      <w:pPr>
        <w:spacing w:after="240"/>
        <w:ind w:left="720"/>
        <w:jc w:val="both"/>
        <w:rPr>
          <w:rFonts w:asciiTheme="majorHAnsi" w:hAnsiTheme="majorHAnsi"/>
        </w:rPr>
      </w:pPr>
      <w:r w:rsidRPr="00F05204">
        <w:rPr>
          <w:rFonts w:asciiTheme="majorHAnsi" w:hAnsiTheme="majorHAnsi"/>
        </w:rPr>
        <w:t xml:space="preserve">We believe that human life begins </w:t>
      </w:r>
      <w:proofErr w:type="gramStart"/>
      <w:r w:rsidRPr="00F05204">
        <w:rPr>
          <w:rFonts w:asciiTheme="majorHAnsi" w:hAnsiTheme="majorHAnsi"/>
        </w:rPr>
        <w:t>at</w:t>
      </w:r>
      <w:proofErr w:type="gramEnd"/>
      <w:r w:rsidRPr="00F05204">
        <w:rPr>
          <w:rFonts w:asciiTheme="majorHAnsi" w:hAnsiTheme="majorHAnsi"/>
        </w:rPr>
        <w:t xml:space="preserve"> conception and that the unborn child is a living human being. Abortion constitutes the unjustified, unexcused taking of unborn human life. (Job 3:16; P</w:t>
      </w:r>
      <w:r>
        <w:rPr>
          <w:rFonts w:asciiTheme="majorHAnsi" w:hAnsiTheme="majorHAnsi"/>
        </w:rPr>
        <w:t>salm</w:t>
      </w:r>
      <w:r w:rsidRPr="00F05204">
        <w:rPr>
          <w:rFonts w:asciiTheme="majorHAnsi" w:hAnsiTheme="majorHAnsi"/>
        </w:rPr>
        <w:t xml:space="preserve"> 51:5; 139:14-16; Is</w:t>
      </w:r>
      <w:r>
        <w:rPr>
          <w:rFonts w:asciiTheme="majorHAnsi" w:hAnsiTheme="majorHAnsi"/>
        </w:rPr>
        <w:t>aiah</w:t>
      </w:r>
      <w:r w:rsidRPr="00F05204">
        <w:rPr>
          <w:rFonts w:asciiTheme="majorHAnsi" w:hAnsiTheme="majorHAnsi"/>
        </w:rPr>
        <w:t xml:space="preserve"> 44:24; 49:1, 5; Jer</w:t>
      </w:r>
      <w:r>
        <w:rPr>
          <w:rFonts w:asciiTheme="majorHAnsi" w:hAnsiTheme="majorHAnsi"/>
        </w:rPr>
        <w:t>emiah</w:t>
      </w:r>
      <w:r w:rsidRPr="00F05204">
        <w:rPr>
          <w:rFonts w:asciiTheme="majorHAnsi" w:hAnsiTheme="majorHAnsi"/>
        </w:rPr>
        <w:t xml:space="preserve"> 1:5; 20:15-18; Luke 1:44) </w:t>
      </w:r>
    </w:p>
    <w:p w14:paraId="7D7011A2" w14:textId="77777777" w:rsidR="00B111DE" w:rsidRPr="00DF5D99" w:rsidRDefault="00B111DE" w:rsidP="00B111DE">
      <w:pPr>
        <w:spacing w:after="240"/>
        <w:ind w:left="720"/>
        <w:jc w:val="both"/>
        <w:rPr>
          <w:rFonts w:asciiTheme="majorHAnsi" w:hAnsiTheme="majorHAnsi"/>
        </w:rPr>
      </w:pPr>
      <w:r w:rsidRPr="00F05204">
        <w:rPr>
          <w:rFonts w:asciiTheme="majorHAnsi" w:hAnsiTheme="majorHAnsi"/>
        </w:rPr>
        <w:lastRenderedPageBreak/>
        <w:t>We believe that the intentional taking of an innocent human life is a moral evil. Life is a gift of God and must be respected from conception until natural death. Thus, we believe that an action or inaction which intentionally causes premature death to eliminate suffering constitutes the unjust, unex</w:t>
      </w:r>
      <w:r>
        <w:rPr>
          <w:rFonts w:asciiTheme="majorHAnsi" w:hAnsiTheme="majorHAnsi"/>
        </w:rPr>
        <w:t>c</w:t>
      </w:r>
      <w:r w:rsidRPr="00F05204">
        <w:rPr>
          <w:rFonts w:asciiTheme="majorHAnsi" w:hAnsiTheme="majorHAnsi"/>
        </w:rPr>
        <w:t>used taking of human life and is contrary to the will of God.</w:t>
      </w:r>
      <w:r>
        <w:rPr>
          <w:rFonts w:asciiTheme="majorHAnsi" w:hAnsiTheme="majorHAnsi"/>
        </w:rPr>
        <w:t xml:space="preserve"> </w:t>
      </w:r>
      <w:r w:rsidRPr="00DF5D99">
        <w:rPr>
          <w:rFonts w:asciiTheme="majorHAnsi" w:hAnsiTheme="majorHAnsi"/>
        </w:rPr>
        <w:t>However, we acknowledge</w:t>
      </w:r>
      <w:r>
        <w:rPr>
          <w:rFonts w:asciiTheme="majorHAnsi" w:hAnsiTheme="majorHAnsi"/>
        </w:rPr>
        <w:t xml:space="preserve"> </w:t>
      </w:r>
      <w:r w:rsidRPr="00DF5D99">
        <w:rPr>
          <w:rFonts w:asciiTheme="majorHAnsi" w:hAnsiTheme="majorHAnsi"/>
        </w:rPr>
        <w:t>that discontinuing extraordinary or over-zealous medical procedures, when they are</w:t>
      </w:r>
      <w:r>
        <w:rPr>
          <w:rFonts w:asciiTheme="majorHAnsi" w:hAnsiTheme="majorHAnsi"/>
        </w:rPr>
        <w:t xml:space="preserve"> </w:t>
      </w:r>
      <w:r w:rsidRPr="00DF5D99">
        <w:rPr>
          <w:rFonts w:asciiTheme="majorHAnsi" w:hAnsiTheme="majorHAnsi"/>
        </w:rPr>
        <w:t>disproportionate to the expected outcome, can be a legitimate decision. (E</w:t>
      </w:r>
      <w:r>
        <w:rPr>
          <w:rFonts w:asciiTheme="majorHAnsi" w:hAnsiTheme="majorHAnsi"/>
        </w:rPr>
        <w:t>xodus</w:t>
      </w:r>
      <w:r w:rsidRPr="00DF5D99">
        <w:rPr>
          <w:rFonts w:asciiTheme="majorHAnsi" w:hAnsiTheme="majorHAnsi"/>
        </w:rPr>
        <w:t xml:space="preserve"> 20:13, 23:7; Matthew</w:t>
      </w:r>
      <w:r>
        <w:rPr>
          <w:rFonts w:asciiTheme="majorHAnsi" w:hAnsiTheme="majorHAnsi"/>
        </w:rPr>
        <w:t xml:space="preserve"> </w:t>
      </w:r>
      <w:r w:rsidRPr="00DF5D99">
        <w:rPr>
          <w:rFonts w:asciiTheme="majorHAnsi" w:hAnsiTheme="majorHAnsi"/>
        </w:rPr>
        <w:t>5:21; Acts 17:28)</w:t>
      </w:r>
    </w:p>
    <w:p w14:paraId="4F617A7F" w14:textId="77777777" w:rsidR="00B111DE" w:rsidRPr="00F05204" w:rsidRDefault="00B111DE" w:rsidP="00B111DE">
      <w:pPr>
        <w:spacing w:after="240"/>
        <w:ind w:left="720"/>
        <w:jc w:val="both"/>
        <w:rPr>
          <w:rFonts w:asciiTheme="majorHAnsi" w:hAnsiTheme="majorHAnsi"/>
        </w:rPr>
      </w:pPr>
      <w:r w:rsidRPr="00DF5D99">
        <w:rPr>
          <w:rFonts w:asciiTheme="majorHAnsi" w:hAnsiTheme="majorHAnsi"/>
        </w:rPr>
        <w:t xml:space="preserve">[We recognize that often these issues arise out </w:t>
      </w:r>
      <w:r>
        <w:rPr>
          <w:rFonts w:asciiTheme="majorHAnsi" w:hAnsiTheme="majorHAnsi"/>
        </w:rPr>
        <w:t xml:space="preserve">of </w:t>
      </w:r>
      <w:r w:rsidRPr="00DF5D99">
        <w:rPr>
          <w:rFonts w:asciiTheme="majorHAnsi" w:hAnsiTheme="majorHAnsi"/>
        </w:rPr>
        <w:t>personal crises</w:t>
      </w:r>
      <w:r>
        <w:rPr>
          <w:rFonts w:asciiTheme="majorHAnsi" w:hAnsiTheme="majorHAnsi"/>
        </w:rPr>
        <w:t>,</w:t>
      </w:r>
      <w:r w:rsidRPr="00DF5D99">
        <w:rPr>
          <w:rFonts w:asciiTheme="majorHAnsi" w:hAnsiTheme="majorHAnsi"/>
        </w:rPr>
        <w:t xml:space="preserve"> and as a church family, we are</w:t>
      </w:r>
      <w:r>
        <w:rPr>
          <w:rFonts w:asciiTheme="majorHAnsi" w:hAnsiTheme="majorHAnsi"/>
        </w:rPr>
        <w:t xml:space="preserve"> </w:t>
      </w:r>
      <w:r w:rsidRPr="00DF5D99">
        <w:rPr>
          <w:rFonts w:asciiTheme="majorHAnsi" w:hAnsiTheme="majorHAnsi"/>
        </w:rPr>
        <w:t>committed to offering compassionate support, counsel, and care to individuals and families facing</w:t>
      </w:r>
      <w:r>
        <w:rPr>
          <w:rFonts w:asciiTheme="majorHAnsi" w:hAnsiTheme="majorHAnsi"/>
        </w:rPr>
        <w:t xml:space="preserve"> </w:t>
      </w:r>
      <w:r w:rsidRPr="00DF5D99">
        <w:rPr>
          <w:rFonts w:asciiTheme="majorHAnsi" w:hAnsiTheme="majorHAnsi"/>
        </w:rPr>
        <w:t>difficult circumstances.]</w:t>
      </w:r>
    </w:p>
    <w:p w14:paraId="01CF7769" w14:textId="77777777" w:rsidR="00B111DE" w:rsidRDefault="00B111DE"/>
    <w:sectPr w:rsidR="00B11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DE"/>
    <w:rsid w:val="004C14C4"/>
    <w:rsid w:val="00B11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0844"/>
  <w15:chartTrackingRefBased/>
  <w15:docId w15:val="{AA277FC9-35C7-40EA-819C-C775D9EC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1D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111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11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11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11D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111D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111D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111D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111D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111D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1DE"/>
    <w:rPr>
      <w:rFonts w:eastAsiaTheme="majorEastAsia" w:cstheme="majorBidi"/>
      <w:color w:val="272727" w:themeColor="text1" w:themeTint="D8"/>
    </w:rPr>
  </w:style>
  <w:style w:type="paragraph" w:styleId="Title">
    <w:name w:val="Title"/>
    <w:basedOn w:val="Normal"/>
    <w:next w:val="Normal"/>
    <w:link w:val="TitleChar"/>
    <w:uiPriority w:val="10"/>
    <w:qFormat/>
    <w:rsid w:val="00B111D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1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B111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99"/>
    <w:rsid w:val="00B11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1D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111DE"/>
    <w:rPr>
      <w:i/>
      <w:iCs/>
      <w:color w:val="404040" w:themeColor="text1" w:themeTint="BF"/>
    </w:rPr>
  </w:style>
  <w:style w:type="paragraph" w:styleId="ListParagraph">
    <w:name w:val="List Paragraph"/>
    <w:basedOn w:val="Normal"/>
    <w:uiPriority w:val="34"/>
    <w:qFormat/>
    <w:rsid w:val="00B111D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111DE"/>
    <w:rPr>
      <w:i/>
      <w:iCs/>
      <w:color w:val="0F4761" w:themeColor="accent1" w:themeShade="BF"/>
    </w:rPr>
  </w:style>
  <w:style w:type="paragraph" w:styleId="IntenseQuote">
    <w:name w:val="Intense Quote"/>
    <w:basedOn w:val="Normal"/>
    <w:next w:val="Normal"/>
    <w:link w:val="IntenseQuoteChar"/>
    <w:uiPriority w:val="30"/>
    <w:qFormat/>
    <w:rsid w:val="00B111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111DE"/>
    <w:rPr>
      <w:i/>
      <w:iCs/>
      <w:color w:val="0F4761" w:themeColor="accent1" w:themeShade="BF"/>
    </w:rPr>
  </w:style>
  <w:style w:type="character" w:styleId="IntenseReference">
    <w:name w:val="Intense Reference"/>
    <w:basedOn w:val="DefaultParagraphFont"/>
    <w:uiPriority w:val="32"/>
    <w:qFormat/>
    <w:rsid w:val="00B111DE"/>
    <w:rPr>
      <w:b/>
      <w:bCs/>
      <w:smallCaps/>
      <w:color w:val="0F4761" w:themeColor="accent1" w:themeShade="BF"/>
      <w:spacing w:val="5"/>
    </w:rPr>
  </w:style>
  <w:style w:type="paragraph" w:styleId="BodyText">
    <w:name w:val="Body Text"/>
    <w:basedOn w:val="Normal"/>
    <w:link w:val="BodyTextChar"/>
    <w:uiPriority w:val="99"/>
    <w:rsid w:val="00B111DE"/>
    <w:pPr>
      <w:tabs>
        <w:tab w:val="center" w:pos="3960"/>
        <w:tab w:val="center" w:pos="6120"/>
        <w:tab w:val="right" w:pos="6480"/>
        <w:tab w:val="right" w:pos="10080"/>
      </w:tabs>
      <w:jc w:val="both"/>
    </w:pPr>
    <w:rPr>
      <w:sz w:val="20"/>
    </w:rPr>
  </w:style>
  <w:style w:type="character" w:customStyle="1" w:styleId="BodyTextChar">
    <w:name w:val="Body Text Char"/>
    <w:basedOn w:val="DefaultParagraphFont"/>
    <w:link w:val="BodyText"/>
    <w:uiPriority w:val="99"/>
    <w:rsid w:val="00B111DE"/>
    <w:rPr>
      <w:rFonts w:ascii="Times New Roman" w:eastAsia="Times New Roman" w:hAnsi="Times New Roman" w:cs="Times New Roman"/>
      <w:kern w:val="0"/>
      <w:sz w:val="20"/>
      <w14:ligatures w14:val="none"/>
    </w:rPr>
  </w:style>
  <w:style w:type="character" w:styleId="SubtleEmphasis">
    <w:name w:val="Subtle Emphasis"/>
    <w:basedOn w:val="DefaultParagraphFont"/>
    <w:uiPriority w:val="99"/>
    <w:qFormat/>
    <w:rsid w:val="00B111DE"/>
    <w:rPr>
      <w:rFonts w:cs="Times New Roman"/>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5467</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Massaro</dc:creator>
  <cp:keywords/>
  <dc:description/>
  <cp:lastModifiedBy>Josh Massaro</cp:lastModifiedBy>
  <cp:revision>1</cp:revision>
  <dcterms:created xsi:type="dcterms:W3CDTF">2026-03-03T16:57:00Z</dcterms:created>
  <dcterms:modified xsi:type="dcterms:W3CDTF">2026-03-03T16:57:00Z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803e8a5d-26df-4171-9231-8c24d356fa50</vt:lpwstr>
  </property>
</Properties>
</file>